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EE3D9" w14:textId="32193A55" w:rsidR="009D0E8B" w:rsidRDefault="009D0E8B" w:rsidP="009D0E8B">
      <w:pPr>
        <w:pStyle w:val="Heading2"/>
        <w:ind w:left="-630"/>
        <w:rPr>
          <w:rFonts w:ascii="Times New Roman" w:hAnsi="Times New Roman"/>
          <w:color w:val="0F243E"/>
          <w:sz w:val="18"/>
          <w:szCs w:val="18"/>
        </w:rPr>
      </w:pPr>
    </w:p>
    <w:p w14:paraId="78B7B47A" w14:textId="77777777" w:rsidR="009D0E8B" w:rsidRPr="009D0E8B" w:rsidRDefault="009D0E8B" w:rsidP="009D0E8B">
      <w:pPr>
        <w:pStyle w:val="Heading2"/>
        <w:ind w:left="-630"/>
        <w:rPr>
          <w:rFonts w:ascii="Times New Roman" w:hAnsi="Times New Roman"/>
          <w:color w:val="0F243E"/>
          <w:sz w:val="18"/>
          <w:szCs w:val="18"/>
        </w:rPr>
      </w:pPr>
      <w:r w:rsidRPr="009D0E8B">
        <w:rPr>
          <w:rFonts w:ascii="Times New Roman" w:hAnsi="Times New Roman"/>
          <w:color w:val="0F243E"/>
          <w:sz w:val="18"/>
          <w:szCs w:val="18"/>
        </w:rPr>
        <w:t>Seneca County</w:t>
      </w:r>
    </w:p>
    <w:p w14:paraId="3A939273" w14:textId="77777777" w:rsidR="009D0E8B" w:rsidRPr="009D0E8B" w:rsidRDefault="009D0E8B" w:rsidP="009D0E8B">
      <w:pPr>
        <w:pStyle w:val="Heading2"/>
        <w:ind w:left="-630"/>
        <w:rPr>
          <w:rFonts w:ascii="Times New Roman" w:hAnsi="Times New Roman"/>
          <w:color w:val="0F243E"/>
          <w:sz w:val="18"/>
          <w:szCs w:val="18"/>
        </w:rPr>
      </w:pPr>
      <w:r w:rsidRPr="009D0E8B">
        <w:rPr>
          <w:rFonts w:ascii="Times New Roman" w:hAnsi="Times New Roman"/>
          <w:color w:val="0F243E"/>
          <w:sz w:val="18"/>
          <w:szCs w:val="18"/>
        </w:rPr>
        <w:t>Economic Development Corporation</w:t>
      </w:r>
      <w:r w:rsidRPr="009D0E8B">
        <w:rPr>
          <w:rFonts w:ascii="Times New Roman" w:hAnsi="Times New Roman"/>
          <w:color w:val="0F243E"/>
          <w:sz w:val="18"/>
          <w:szCs w:val="18"/>
        </w:rPr>
        <w:tab/>
        <w:t xml:space="preserve">                                                        </w:t>
      </w:r>
      <w:r>
        <w:rPr>
          <w:rFonts w:ascii="Times New Roman" w:hAnsi="Times New Roman"/>
          <w:color w:val="0F243E"/>
          <w:sz w:val="18"/>
          <w:szCs w:val="18"/>
        </w:rPr>
        <w:tab/>
      </w:r>
      <w:r>
        <w:rPr>
          <w:rFonts w:ascii="Times New Roman" w:hAnsi="Times New Roman"/>
          <w:color w:val="0F243E"/>
          <w:sz w:val="18"/>
          <w:szCs w:val="18"/>
        </w:rPr>
        <w:tab/>
      </w:r>
      <w:r w:rsidRPr="009D0E8B">
        <w:rPr>
          <w:rFonts w:ascii="Times New Roman" w:hAnsi="Times New Roman"/>
          <w:color w:val="0F243E"/>
          <w:sz w:val="18"/>
          <w:szCs w:val="18"/>
        </w:rPr>
        <w:t>Telephone (315) 539-1725</w:t>
      </w:r>
    </w:p>
    <w:tbl>
      <w:tblPr>
        <w:tblW w:w="10908" w:type="dxa"/>
        <w:tblInd w:w="-810" w:type="dxa"/>
        <w:tblBorders>
          <w:top w:val="double" w:sz="4" w:space="0" w:color="auto"/>
        </w:tblBorders>
        <w:tblLayout w:type="fixed"/>
        <w:tblLook w:val="0000" w:firstRow="0" w:lastRow="0" w:firstColumn="0" w:lastColumn="0" w:noHBand="0" w:noVBand="0"/>
      </w:tblPr>
      <w:tblGrid>
        <w:gridCol w:w="6030"/>
        <w:gridCol w:w="4878"/>
      </w:tblGrid>
      <w:tr w:rsidR="009D0E8B" w:rsidRPr="009D0E8B" w14:paraId="423ACE7D" w14:textId="77777777" w:rsidTr="009D0E8B">
        <w:trPr>
          <w:trHeight w:val="150"/>
        </w:trPr>
        <w:tc>
          <w:tcPr>
            <w:tcW w:w="6030" w:type="dxa"/>
          </w:tcPr>
          <w:p w14:paraId="4A660F6E" w14:textId="77777777" w:rsidR="009D0E8B" w:rsidRPr="009D0E8B" w:rsidRDefault="009D0E8B" w:rsidP="00B27240">
            <w:pPr>
              <w:pStyle w:val="Heading2"/>
              <w:rPr>
                <w:rFonts w:ascii="Times New Roman" w:hAnsi="Times New Roman"/>
                <w:color w:val="0F243E"/>
                <w:sz w:val="18"/>
                <w:szCs w:val="18"/>
              </w:rPr>
            </w:pPr>
          </w:p>
          <w:p w14:paraId="486ADE01" w14:textId="77777777" w:rsidR="009D0E8B" w:rsidRPr="009D0E8B" w:rsidRDefault="009D0E8B" w:rsidP="00B27240">
            <w:pPr>
              <w:pStyle w:val="Heading2"/>
              <w:rPr>
                <w:rFonts w:ascii="Times New Roman" w:hAnsi="Times New Roman"/>
                <w:color w:val="0F243E"/>
                <w:sz w:val="18"/>
                <w:szCs w:val="18"/>
              </w:rPr>
            </w:pPr>
            <w:r w:rsidRPr="009D0E8B">
              <w:rPr>
                <w:rFonts w:ascii="Times New Roman" w:hAnsi="Times New Roman"/>
                <w:color w:val="0F243E"/>
                <w:sz w:val="18"/>
                <w:szCs w:val="18"/>
              </w:rPr>
              <w:t>One DiPronio Drive, Waterloo, New York 13165</w:t>
            </w:r>
          </w:p>
          <w:p w14:paraId="46D3AD8C" w14:textId="77777777" w:rsidR="009D0E8B" w:rsidRPr="009D0E8B" w:rsidRDefault="009D0E8B" w:rsidP="00B27240">
            <w:pPr>
              <w:rPr>
                <w:rFonts w:ascii="Times New Roman" w:hAnsi="Times New Roman"/>
                <w:b/>
                <w:i/>
                <w:color w:val="0F243E"/>
                <w:sz w:val="18"/>
                <w:szCs w:val="18"/>
              </w:rPr>
            </w:pPr>
          </w:p>
        </w:tc>
        <w:tc>
          <w:tcPr>
            <w:tcW w:w="4878" w:type="dxa"/>
          </w:tcPr>
          <w:p w14:paraId="41B59DE4" w14:textId="77777777" w:rsidR="009D0E8B" w:rsidRPr="009D0E8B" w:rsidRDefault="009D0E8B" w:rsidP="00B27240">
            <w:pPr>
              <w:pStyle w:val="Heading4"/>
              <w:rPr>
                <w:rFonts w:ascii="Times New Roman" w:hAnsi="Times New Roman"/>
                <w:color w:val="0F243E"/>
                <w:sz w:val="18"/>
                <w:szCs w:val="18"/>
              </w:rPr>
            </w:pPr>
          </w:p>
          <w:p w14:paraId="6F76F8FC" w14:textId="77777777" w:rsidR="009D0E8B" w:rsidRPr="009D0E8B" w:rsidRDefault="009D0E8B" w:rsidP="00B27240">
            <w:pPr>
              <w:pStyle w:val="Heading4"/>
              <w:rPr>
                <w:rFonts w:ascii="Times New Roman" w:hAnsi="Times New Roman"/>
                <w:color w:val="0F243E"/>
                <w:sz w:val="18"/>
                <w:szCs w:val="18"/>
              </w:rPr>
            </w:pPr>
            <w:r w:rsidRPr="009D0E8B">
              <w:rPr>
                <w:rFonts w:ascii="Times New Roman" w:hAnsi="Times New Roman"/>
                <w:color w:val="0F243E"/>
                <w:sz w:val="18"/>
                <w:szCs w:val="18"/>
              </w:rPr>
              <w:t xml:space="preserve">      </w:t>
            </w:r>
            <w:r>
              <w:rPr>
                <w:rFonts w:ascii="Times New Roman" w:hAnsi="Times New Roman"/>
                <w:color w:val="0F243E"/>
                <w:sz w:val="18"/>
                <w:szCs w:val="18"/>
              </w:rPr>
              <w:t xml:space="preserve">   </w:t>
            </w:r>
            <w:r w:rsidRPr="009D0E8B">
              <w:rPr>
                <w:rFonts w:ascii="Times New Roman" w:hAnsi="Times New Roman"/>
                <w:color w:val="0F243E"/>
                <w:sz w:val="18"/>
                <w:szCs w:val="18"/>
              </w:rPr>
              <w:t>Fax (315) 539-4340</w:t>
            </w:r>
          </w:p>
        </w:tc>
      </w:tr>
    </w:tbl>
    <w:p w14:paraId="65105D76" w14:textId="77777777" w:rsidR="009D0E8B" w:rsidRDefault="009D0E8B" w:rsidP="00003F9A">
      <w:pPr>
        <w:jc w:val="center"/>
        <w:rPr>
          <w:rFonts w:cs="Calibri"/>
          <w:b/>
          <w:sz w:val="18"/>
          <w:szCs w:val="18"/>
          <w:u w:val="single"/>
        </w:rPr>
      </w:pPr>
    </w:p>
    <w:p w14:paraId="3FDE5FB8" w14:textId="77777777" w:rsidR="009D0E8B" w:rsidRDefault="009D0E8B" w:rsidP="00003F9A">
      <w:pPr>
        <w:jc w:val="center"/>
        <w:rPr>
          <w:rFonts w:cs="Calibri"/>
          <w:b/>
          <w:sz w:val="18"/>
          <w:szCs w:val="18"/>
          <w:u w:val="single"/>
        </w:rPr>
      </w:pPr>
    </w:p>
    <w:p w14:paraId="510AE63E" w14:textId="77777777" w:rsidR="007B4529" w:rsidRPr="009D0E8B" w:rsidRDefault="007B4529" w:rsidP="00003F9A">
      <w:pPr>
        <w:jc w:val="center"/>
        <w:rPr>
          <w:rFonts w:cs="Calibri"/>
          <w:b/>
          <w:sz w:val="18"/>
          <w:szCs w:val="18"/>
          <w:u w:val="single"/>
        </w:rPr>
      </w:pPr>
      <w:r w:rsidRPr="009D0E8B">
        <w:rPr>
          <w:rFonts w:cs="Calibri"/>
          <w:b/>
          <w:sz w:val="18"/>
          <w:szCs w:val="18"/>
          <w:u w:val="single"/>
        </w:rPr>
        <w:t>New York State Local Public Authority Mission Statement and Measurement Report</w:t>
      </w:r>
    </w:p>
    <w:p w14:paraId="2A2FAE8B" w14:textId="77777777" w:rsidR="000302C1" w:rsidRPr="004F1E76" w:rsidRDefault="007B4529" w:rsidP="00003F9A">
      <w:pPr>
        <w:jc w:val="both"/>
        <w:rPr>
          <w:rFonts w:ascii="Tahoma" w:hAnsi="Tahoma" w:cs="Tahoma"/>
          <w:b/>
          <w:color w:val="833C0B" w:themeColor="accent2" w:themeShade="80"/>
          <w:sz w:val="18"/>
          <w:szCs w:val="18"/>
        </w:rPr>
      </w:pPr>
      <w:r w:rsidRPr="009D0E8B">
        <w:rPr>
          <w:rFonts w:cs="Calibri"/>
          <w:b/>
          <w:sz w:val="18"/>
          <w:szCs w:val="18"/>
        </w:rPr>
        <w:t>Local Public Authority Name</w:t>
      </w:r>
      <w:r w:rsidR="00C2403C" w:rsidRPr="009D0E8B">
        <w:rPr>
          <w:rFonts w:cs="Calibri"/>
          <w:sz w:val="18"/>
          <w:szCs w:val="18"/>
        </w:rPr>
        <w:t xml:space="preserve">: </w:t>
      </w:r>
      <w:r w:rsidR="00AF6C65" w:rsidRPr="009D0E8B">
        <w:rPr>
          <w:rFonts w:cs="Calibri"/>
          <w:sz w:val="18"/>
          <w:szCs w:val="18"/>
        </w:rPr>
        <w:tab/>
      </w:r>
      <w:r w:rsidR="00C2403C" w:rsidRPr="004F1E76">
        <w:rPr>
          <w:rFonts w:ascii="Tahoma" w:hAnsi="Tahoma" w:cs="Tahoma"/>
          <w:b/>
          <w:color w:val="833C0B" w:themeColor="accent2" w:themeShade="80"/>
          <w:sz w:val="18"/>
          <w:szCs w:val="18"/>
        </w:rPr>
        <w:t xml:space="preserve">Seneca County </w:t>
      </w:r>
      <w:r w:rsidR="00496B10" w:rsidRPr="004F1E76">
        <w:rPr>
          <w:rFonts w:ascii="Tahoma" w:hAnsi="Tahoma" w:cs="Tahoma"/>
          <w:b/>
          <w:color w:val="833C0B" w:themeColor="accent2" w:themeShade="80"/>
          <w:sz w:val="18"/>
          <w:szCs w:val="18"/>
        </w:rPr>
        <w:t xml:space="preserve">Economic Development Corporation </w:t>
      </w:r>
    </w:p>
    <w:p w14:paraId="0247D20F" w14:textId="30FF2F84" w:rsidR="007B4529" w:rsidRPr="004F1E76" w:rsidRDefault="007B4529" w:rsidP="00003F9A">
      <w:pPr>
        <w:jc w:val="both"/>
        <w:rPr>
          <w:rFonts w:ascii="Tahoma" w:hAnsi="Tahoma" w:cs="Tahoma"/>
          <w:b/>
          <w:color w:val="833C0B" w:themeColor="accent2" w:themeShade="80"/>
          <w:sz w:val="18"/>
          <w:szCs w:val="18"/>
        </w:rPr>
      </w:pPr>
      <w:r w:rsidRPr="009D0E8B">
        <w:rPr>
          <w:rFonts w:cs="Calibri"/>
          <w:b/>
          <w:sz w:val="18"/>
          <w:szCs w:val="18"/>
        </w:rPr>
        <w:t>Fiscal Year:</w:t>
      </w:r>
      <w:r w:rsidR="00AF6C65" w:rsidRPr="009D0E8B">
        <w:rPr>
          <w:rFonts w:cs="Calibri"/>
          <w:b/>
          <w:color w:val="4F81BD"/>
          <w:sz w:val="18"/>
          <w:szCs w:val="18"/>
        </w:rPr>
        <w:t xml:space="preserve"> </w:t>
      </w:r>
      <w:r w:rsidR="00AF6C65" w:rsidRPr="009D0E8B">
        <w:rPr>
          <w:rFonts w:cs="Calibri"/>
          <w:b/>
          <w:color w:val="4F81BD"/>
          <w:sz w:val="18"/>
          <w:szCs w:val="18"/>
        </w:rPr>
        <w:tab/>
      </w:r>
      <w:r w:rsidRPr="004F1E76">
        <w:rPr>
          <w:rFonts w:ascii="Tahoma" w:hAnsi="Tahoma" w:cs="Tahoma"/>
          <w:b/>
          <w:color w:val="833C0B" w:themeColor="accent2" w:themeShade="80"/>
          <w:sz w:val="18"/>
          <w:szCs w:val="18"/>
        </w:rPr>
        <w:t>J</w:t>
      </w:r>
      <w:r w:rsidR="00C2403C" w:rsidRPr="004F1E76">
        <w:rPr>
          <w:rFonts w:ascii="Tahoma" w:hAnsi="Tahoma" w:cs="Tahoma"/>
          <w:b/>
          <w:color w:val="833C0B" w:themeColor="accent2" w:themeShade="80"/>
          <w:sz w:val="18"/>
          <w:szCs w:val="18"/>
        </w:rPr>
        <w:t xml:space="preserve">anuary </w:t>
      </w:r>
      <w:r w:rsidR="00AF6C65" w:rsidRPr="004F1E76">
        <w:rPr>
          <w:rFonts w:ascii="Tahoma" w:hAnsi="Tahoma" w:cs="Tahoma"/>
          <w:b/>
          <w:color w:val="833C0B" w:themeColor="accent2" w:themeShade="80"/>
          <w:sz w:val="18"/>
          <w:szCs w:val="18"/>
        </w:rPr>
        <w:t xml:space="preserve">1, </w:t>
      </w:r>
      <w:r w:rsidR="007F54C3">
        <w:rPr>
          <w:rFonts w:ascii="Tahoma" w:hAnsi="Tahoma" w:cs="Tahoma"/>
          <w:b/>
          <w:color w:val="833C0B" w:themeColor="accent2" w:themeShade="80"/>
          <w:sz w:val="18"/>
          <w:szCs w:val="18"/>
        </w:rPr>
        <w:t>20</w:t>
      </w:r>
      <w:r w:rsidR="005D1129">
        <w:rPr>
          <w:rFonts w:ascii="Tahoma" w:hAnsi="Tahoma" w:cs="Tahoma"/>
          <w:b/>
          <w:color w:val="833C0B" w:themeColor="accent2" w:themeShade="80"/>
          <w:sz w:val="18"/>
          <w:szCs w:val="18"/>
        </w:rPr>
        <w:t>2</w:t>
      </w:r>
      <w:r w:rsidR="00672BB8">
        <w:rPr>
          <w:rFonts w:ascii="Tahoma" w:hAnsi="Tahoma" w:cs="Tahoma"/>
          <w:b/>
          <w:color w:val="833C0B" w:themeColor="accent2" w:themeShade="80"/>
          <w:sz w:val="18"/>
          <w:szCs w:val="18"/>
        </w:rPr>
        <w:t>1</w:t>
      </w:r>
      <w:r w:rsidR="00C2403C" w:rsidRPr="004F1E76">
        <w:rPr>
          <w:rFonts w:ascii="Tahoma" w:hAnsi="Tahoma" w:cs="Tahoma"/>
          <w:b/>
          <w:color w:val="833C0B" w:themeColor="accent2" w:themeShade="80"/>
          <w:sz w:val="18"/>
          <w:szCs w:val="18"/>
        </w:rPr>
        <w:t xml:space="preserve"> – December 31, </w:t>
      </w:r>
      <w:r w:rsidR="005D1129">
        <w:rPr>
          <w:rFonts w:ascii="Tahoma" w:hAnsi="Tahoma" w:cs="Tahoma"/>
          <w:b/>
          <w:color w:val="833C0B" w:themeColor="accent2" w:themeShade="80"/>
          <w:sz w:val="18"/>
          <w:szCs w:val="18"/>
        </w:rPr>
        <w:t>202</w:t>
      </w:r>
      <w:r w:rsidR="00672BB8">
        <w:rPr>
          <w:rFonts w:ascii="Tahoma" w:hAnsi="Tahoma" w:cs="Tahoma"/>
          <w:b/>
          <w:color w:val="833C0B" w:themeColor="accent2" w:themeShade="80"/>
          <w:sz w:val="18"/>
          <w:szCs w:val="18"/>
        </w:rPr>
        <w:t>1</w:t>
      </w:r>
    </w:p>
    <w:p w14:paraId="18522879" w14:textId="77777777" w:rsidR="007B4529" w:rsidRPr="009D0E8B" w:rsidRDefault="007B4529" w:rsidP="00003F9A">
      <w:pPr>
        <w:autoSpaceDE w:val="0"/>
        <w:autoSpaceDN w:val="0"/>
        <w:adjustRightInd w:val="0"/>
        <w:spacing w:after="0" w:line="240" w:lineRule="auto"/>
        <w:jc w:val="both"/>
        <w:rPr>
          <w:rFonts w:cs="Calibri"/>
          <w:sz w:val="18"/>
          <w:szCs w:val="18"/>
        </w:rPr>
      </w:pPr>
      <w:r w:rsidRPr="009D0E8B">
        <w:rPr>
          <w:rFonts w:cs="Calibri"/>
          <w:b/>
          <w:sz w:val="18"/>
          <w:szCs w:val="18"/>
        </w:rPr>
        <w:t>Enabling Legislation</w:t>
      </w:r>
      <w:r w:rsidRPr="009D0E8B">
        <w:rPr>
          <w:rFonts w:cs="Calibri"/>
          <w:sz w:val="18"/>
          <w:szCs w:val="18"/>
        </w:rPr>
        <w:t xml:space="preserve"> (enables Local Public Authority Mission Statement):  </w:t>
      </w:r>
      <w:r w:rsidR="002506DC" w:rsidRPr="009D0E8B">
        <w:rPr>
          <w:rFonts w:cs="Calibri"/>
          <w:sz w:val="18"/>
          <w:szCs w:val="18"/>
        </w:rPr>
        <w:t xml:space="preserve">Local Development Corporations (“LDCs”) are formed under section 1411 of the Not-for-profit Law, as not-for-profit corporations.  LDCs were created exclusively for charitable or public purposes of relieving and reducing unemployment, promoting and providing for additional and maximum employment, bettering and maintaining job opportunities, instructing or training individuals to improve or develop their capabilities for such jobs, carrying on scientific research for the purpose of aiding a community or geographical area by attracting new industry to the community or area by encouraging the development of, or retention of, an industry in the community or area, and lessening the burdens of government and acting in the public interest of Seneca County.  LDCs have the power to construct, acquire, rehabilitate and improve for use by others industrial or manufacturing plants in Seneca County.  LDCs can assist financially in such construction, acquisition, rehabilitation and improvement, to maintain such plants for others in Seneca County.  LDCs can disseminate information and furnish advice, technical assistance and be the liaison with federal, state and local authorities.  LDCs can acquire by purchase, lease, gift, bequest, devise or otherwise real or personal property or interests therein, to borrow money and to issue negotiable bonds, notes and other obligations.  LDCs can sell, lease, mortgage or otherwise dispose of or encumber any such plants or any of its real or personal property or any interest therein upon such terms as it may determine.    </w:t>
      </w:r>
    </w:p>
    <w:p w14:paraId="22E76514" w14:textId="77777777" w:rsidR="002506DC" w:rsidRPr="009D0E8B" w:rsidRDefault="002506DC" w:rsidP="00003F9A">
      <w:pPr>
        <w:autoSpaceDE w:val="0"/>
        <w:autoSpaceDN w:val="0"/>
        <w:adjustRightInd w:val="0"/>
        <w:spacing w:after="0" w:line="240" w:lineRule="auto"/>
        <w:jc w:val="both"/>
        <w:rPr>
          <w:rFonts w:cs="Calibri"/>
          <w:sz w:val="18"/>
          <w:szCs w:val="18"/>
        </w:rPr>
      </w:pPr>
    </w:p>
    <w:p w14:paraId="221D86CF" w14:textId="77777777" w:rsidR="007B4529" w:rsidRPr="004F1E76" w:rsidRDefault="007B4529" w:rsidP="00003F9A">
      <w:pPr>
        <w:shd w:val="clear" w:color="auto" w:fill="FFFFFF"/>
        <w:spacing w:after="0" w:line="240" w:lineRule="auto"/>
        <w:jc w:val="both"/>
        <w:rPr>
          <w:rFonts w:ascii="Tahoma" w:hAnsi="Tahoma" w:cs="Tahoma"/>
          <w:b/>
          <w:color w:val="833C0B" w:themeColor="accent2" w:themeShade="80"/>
          <w:sz w:val="18"/>
          <w:szCs w:val="18"/>
        </w:rPr>
      </w:pPr>
      <w:r w:rsidRPr="009D0E8B">
        <w:rPr>
          <w:rFonts w:cs="Calibri"/>
          <w:b/>
          <w:sz w:val="18"/>
          <w:szCs w:val="18"/>
          <w:u w:val="single"/>
        </w:rPr>
        <w:t>Mission Statement</w:t>
      </w:r>
      <w:r w:rsidRPr="009D0E8B">
        <w:rPr>
          <w:rFonts w:cs="Calibri"/>
          <w:b/>
          <w:sz w:val="18"/>
          <w:szCs w:val="18"/>
        </w:rPr>
        <w:t>:</w:t>
      </w:r>
      <w:r w:rsidR="00C2403C" w:rsidRPr="009D0E8B">
        <w:rPr>
          <w:rFonts w:cs="Calibri"/>
          <w:b/>
          <w:sz w:val="18"/>
          <w:szCs w:val="18"/>
        </w:rPr>
        <w:t xml:space="preserve"> </w:t>
      </w:r>
      <w:r w:rsidR="00AF6C65" w:rsidRPr="009D0E8B">
        <w:rPr>
          <w:rFonts w:cs="Calibri"/>
          <w:sz w:val="18"/>
          <w:szCs w:val="18"/>
        </w:rPr>
        <w:tab/>
      </w:r>
      <w:r w:rsidR="00003F9A" w:rsidRPr="004F1E76">
        <w:rPr>
          <w:rFonts w:ascii="Tahoma" w:hAnsi="Tahoma" w:cs="Tahoma"/>
          <w:b/>
          <w:color w:val="833C0B" w:themeColor="accent2" w:themeShade="80"/>
          <w:sz w:val="18"/>
          <w:szCs w:val="18"/>
        </w:rPr>
        <w:t xml:space="preserve">Pursuant to the Authority granted by the State of New York, it is the mission of </w:t>
      </w:r>
      <w:r w:rsidR="00003F9A" w:rsidRPr="004F1E76">
        <w:rPr>
          <w:rFonts w:ascii="Tahoma" w:hAnsi="Tahoma" w:cs="Tahoma"/>
          <w:b/>
          <w:color w:val="833C0B" w:themeColor="accent2" w:themeShade="80"/>
          <w:sz w:val="18"/>
          <w:szCs w:val="18"/>
        </w:rPr>
        <w:tab/>
        <w:t xml:space="preserve">the Seneca County Economic Development Corporation to advance the job opportunities and </w:t>
      </w:r>
      <w:r w:rsidR="00003F9A" w:rsidRPr="004F1E76">
        <w:rPr>
          <w:rFonts w:ascii="Tahoma" w:hAnsi="Tahoma" w:cs="Tahoma"/>
          <w:b/>
          <w:color w:val="833C0B" w:themeColor="accent2" w:themeShade="80"/>
          <w:sz w:val="18"/>
          <w:szCs w:val="18"/>
        </w:rPr>
        <w:tab/>
        <w:t xml:space="preserve">economic welfare of the people of Seneca County, by actively promoting, retaining, </w:t>
      </w:r>
      <w:r w:rsidR="00003F9A" w:rsidRPr="004F1E76">
        <w:rPr>
          <w:rFonts w:ascii="Tahoma" w:hAnsi="Tahoma" w:cs="Tahoma"/>
          <w:b/>
          <w:color w:val="833C0B" w:themeColor="accent2" w:themeShade="80"/>
          <w:sz w:val="18"/>
          <w:szCs w:val="18"/>
        </w:rPr>
        <w:tab/>
        <w:t xml:space="preserve">encouraging, and attracting economically sound commerce, industry and recreational </w:t>
      </w:r>
      <w:r w:rsidR="00003F9A" w:rsidRPr="004F1E76">
        <w:rPr>
          <w:rFonts w:ascii="Tahoma" w:hAnsi="Tahoma" w:cs="Tahoma"/>
          <w:b/>
          <w:color w:val="833C0B" w:themeColor="accent2" w:themeShade="80"/>
          <w:sz w:val="18"/>
          <w:szCs w:val="18"/>
        </w:rPr>
        <w:tab/>
        <w:t xml:space="preserve">opportunities, and lessening the burdens of government and acting in the </w:t>
      </w:r>
      <w:r w:rsidR="00BF0905" w:rsidRPr="004F1E76">
        <w:rPr>
          <w:rFonts w:ascii="Tahoma" w:hAnsi="Tahoma" w:cs="Tahoma"/>
          <w:b/>
          <w:color w:val="833C0B" w:themeColor="accent2" w:themeShade="80"/>
          <w:sz w:val="18"/>
          <w:szCs w:val="18"/>
        </w:rPr>
        <w:t>public interest</w:t>
      </w:r>
      <w:r w:rsidR="00003F9A" w:rsidRPr="004F1E76">
        <w:rPr>
          <w:rFonts w:ascii="Tahoma" w:hAnsi="Tahoma" w:cs="Tahoma"/>
          <w:b/>
          <w:color w:val="833C0B" w:themeColor="accent2" w:themeShade="80"/>
          <w:sz w:val="18"/>
          <w:szCs w:val="18"/>
        </w:rPr>
        <w:t xml:space="preserve">.  The </w:t>
      </w:r>
      <w:r w:rsidR="00003F9A" w:rsidRPr="004F1E76">
        <w:rPr>
          <w:rFonts w:ascii="Tahoma" w:hAnsi="Tahoma" w:cs="Tahoma"/>
          <w:b/>
          <w:color w:val="833C0B" w:themeColor="accent2" w:themeShade="80"/>
          <w:sz w:val="18"/>
          <w:szCs w:val="18"/>
        </w:rPr>
        <w:tab/>
        <w:t xml:space="preserve">Seneca County Economic Development Corporation will achieve this mission by utilizing the </w:t>
      </w:r>
      <w:r w:rsidR="00003F9A" w:rsidRPr="004F1E76">
        <w:rPr>
          <w:rFonts w:ascii="Tahoma" w:hAnsi="Tahoma" w:cs="Tahoma"/>
          <w:b/>
          <w:color w:val="833C0B" w:themeColor="accent2" w:themeShade="80"/>
          <w:sz w:val="18"/>
          <w:szCs w:val="18"/>
        </w:rPr>
        <w:tab/>
        <w:t xml:space="preserve">powers granted to it by New York State.  This assistance can include financial assistance for </w:t>
      </w:r>
      <w:r w:rsidR="00003F9A" w:rsidRPr="004F1E76">
        <w:rPr>
          <w:rFonts w:ascii="Tahoma" w:hAnsi="Tahoma" w:cs="Tahoma"/>
          <w:b/>
          <w:color w:val="833C0B" w:themeColor="accent2" w:themeShade="80"/>
          <w:sz w:val="18"/>
          <w:szCs w:val="18"/>
        </w:rPr>
        <w:tab/>
        <w:t xml:space="preserve">industrial or commercial projects, furnishing advice and technical assistance to such projects, </w:t>
      </w:r>
      <w:r w:rsidR="00003F9A" w:rsidRPr="004F1E76">
        <w:rPr>
          <w:rFonts w:ascii="Tahoma" w:hAnsi="Tahoma" w:cs="Tahoma"/>
          <w:b/>
          <w:color w:val="833C0B" w:themeColor="accent2" w:themeShade="80"/>
          <w:sz w:val="18"/>
          <w:szCs w:val="18"/>
        </w:rPr>
        <w:tab/>
        <w:t xml:space="preserve">being the liaison with federal, state and local authorities and providing support to other </w:t>
      </w:r>
      <w:r w:rsidR="00003F9A" w:rsidRPr="004F1E76">
        <w:rPr>
          <w:rFonts w:ascii="Tahoma" w:hAnsi="Tahoma" w:cs="Tahoma"/>
          <w:b/>
          <w:color w:val="833C0B" w:themeColor="accent2" w:themeShade="80"/>
          <w:sz w:val="18"/>
          <w:szCs w:val="18"/>
        </w:rPr>
        <w:tab/>
        <w:t xml:space="preserve">organizations with similar missions.  The Seneca County Economic Development Corporation </w:t>
      </w:r>
      <w:r w:rsidR="00003F9A" w:rsidRPr="004F1E76">
        <w:rPr>
          <w:rFonts w:ascii="Tahoma" w:hAnsi="Tahoma" w:cs="Tahoma"/>
          <w:b/>
          <w:color w:val="833C0B" w:themeColor="accent2" w:themeShade="80"/>
          <w:sz w:val="18"/>
          <w:szCs w:val="18"/>
        </w:rPr>
        <w:tab/>
        <w:t xml:space="preserve">can acquire, dispose, or manage real or personal property or interests therein upon such terms </w:t>
      </w:r>
      <w:r w:rsidR="00003F9A" w:rsidRPr="004F1E76">
        <w:rPr>
          <w:rFonts w:ascii="Tahoma" w:hAnsi="Tahoma" w:cs="Tahoma"/>
          <w:b/>
          <w:color w:val="833C0B" w:themeColor="accent2" w:themeShade="80"/>
          <w:sz w:val="18"/>
          <w:szCs w:val="18"/>
        </w:rPr>
        <w:tab/>
        <w:t xml:space="preserve">as it may determine.  The board and staff of the Seneca County Economic Development </w:t>
      </w:r>
      <w:r w:rsidR="00003F9A" w:rsidRPr="004F1E76">
        <w:rPr>
          <w:rFonts w:ascii="Tahoma" w:hAnsi="Tahoma" w:cs="Tahoma"/>
          <w:b/>
          <w:color w:val="833C0B" w:themeColor="accent2" w:themeShade="80"/>
          <w:sz w:val="18"/>
          <w:szCs w:val="18"/>
        </w:rPr>
        <w:tab/>
        <w:t xml:space="preserve">Corporation will carry out this mission guided by the tenets of transparency, integrity and </w:t>
      </w:r>
      <w:r w:rsidR="00003F9A" w:rsidRPr="004F1E76">
        <w:rPr>
          <w:rFonts w:ascii="Tahoma" w:hAnsi="Tahoma" w:cs="Tahoma"/>
          <w:b/>
          <w:color w:val="833C0B" w:themeColor="accent2" w:themeShade="80"/>
          <w:sz w:val="18"/>
          <w:szCs w:val="18"/>
        </w:rPr>
        <w:tab/>
        <w:t xml:space="preserve">accountability. </w:t>
      </w:r>
    </w:p>
    <w:p w14:paraId="61C9852B" w14:textId="77777777" w:rsidR="00003F9A" w:rsidRPr="004F1E76" w:rsidRDefault="00003F9A" w:rsidP="00003F9A">
      <w:pPr>
        <w:shd w:val="clear" w:color="auto" w:fill="FFFFFF"/>
        <w:spacing w:after="0" w:line="240" w:lineRule="auto"/>
        <w:jc w:val="both"/>
        <w:rPr>
          <w:rFonts w:cs="Calibri"/>
          <w:b/>
          <w:color w:val="833C0B" w:themeColor="accent2" w:themeShade="80"/>
          <w:sz w:val="18"/>
          <w:szCs w:val="18"/>
        </w:rPr>
      </w:pPr>
    </w:p>
    <w:p w14:paraId="0B06B7E3" w14:textId="3335092A" w:rsidR="007B4529" w:rsidRPr="009D0E8B" w:rsidRDefault="007F54C3" w:rsidP="00003F9A">
      <w:pPr>
        <w:shd w:val="clear" w:color="auto" w:fill="FFFFFF"/>
        <w:spacing w:after="0" w:line="240" w:lineRule="auto"/>
        <w:jc w:val="both"/>
        <w:rPr>
          <w:rFonts w:cs="Calibri"/>
          <w:b/>
          <w:sz w:val="18"/>
          <w:szCs w:val="18"/>
        </w:rPr>
      </w:pPr>
      <w:r>
        <w:rPr>
          <w:rFonts w:cs="Calibri"/>
          <w:b/>
          <w:sz w:val="18"/>
          <w:szCs w:val="18"/>
        </w:rPr>
        <w:t>20</w:t>
      </w:r>
      <w:r w:rsidR="00672BB8">
        <w:rPr>
          <w:rFonts w:cs="Calibri"/>
          <w:b/>
          <w:sz w:val="18"/>
          <w:szCs w:val="18"/>
        </w:rPr>
        <w:t>21</w:t>
      </w:r>
      <w:r w:rsidR="007B4529" w:rsidRPr="009D0E8B">
        <w:rPr>
          <w:rFonts w:cs="Calibri"/>
          <w:b/>
          <w:sz w:val="18"/>
          <w:szCs w:val="18"/>
        </w:rPr>
        <w:t xml:space="preserve"> Measurements</w:t>
      </w:r>
      <w:r w:rsidR="00C2403C" w:rsidRPr="009D0E8B">
        <w:rPr>
          <w:rFonts w:cs="Calibri"/>
          <w:b/>
          <w:sz w:val="18"/>
          <w:szCs w:val="18"/>
        </w:rPr>
        <w:t>:</w:t>
      </w:r>
    </w:p>
    <w:p w14:paraId="1BC93D35" w14:textId="77777777" w:rsidR="00AF6C65" w:rsidRPr="009D0E8B" w:rsidRDefault="00AF6C65" w:rsidP="00003F9A">
      <w:pPr>
        <w:shd w:val="clear" w:color="auto" w:fill="FFFFFF"/>
        <w:spacing w:after="0" w:line="240" w:lineRule="auto"/>
        <w:jc w:val="both"/>
        <w:rPr>
          <w:rFonts w:cs="Calibri"/>
          <w:b/>
          <w:sz w:val="18"/>
          <w:szCs w:val="18"/>
        </w:rPr>
      </w:pPr>
    </w:p>
    <w:p w14:paraId="123DE782" w14:textId="77777777" w:rsidR="007B4529" w:rsidRPr="004F1E76" w:rsidRDefault="00496B10" w:rsidP="000302C1">
      <w:pPr>
        <w:pStyle w:val="ListParagraph"/>
        <w:numPr>
          <w:ilvl w:val="0"/>
          <w:numId w:val="8"/>
        </w:numPr>
        <w:shd w:val="clear" w:color="auto" w:fill="FFFFFF"/>
        <w:spacing w:after="0" w:line="240" w:lineRule="auto"/>
        <w:jc w:val="both"/>
        <w:rPr>
          <w:rFonts w:cs="Calibri"/>
          <w:b/>
          <w:color w:val="833C0B" w:themeColor="accent2" w:themeShade="80"/>
          <w:sz w:val="18"/>
          <w:szCs w:val="18"/>
        </w:rPr>
      </w:pPr>
      <w:r w:rsidRPr="004F1E76">
        <w:rPr>
          <w:rFonts w:ascii="Tahoma" w:hAnsi="Tahoma" w:cs="Tahoma"/>
          <w:b/>
          <w:color w:val="833C0B" w:themeColor="accent2" w:themeShade="80"/>
          <w:sz w:val="18"/>
          <w:szCs w:val="18"/>
        </w:rPr>
        <w:t xml:space="preserve">Anecdotal instances of collaboration with local government </w:t>
      </w:r>
      <w:r w:rsidR="00EF6DD4" w:rsidRPr="004F1E76">
        <w:rPr>
          <w:rFonts w:ascii="Tahoma" w:hAnsi="Tahoma" w:cs="Tahoma"/>
          <w:b/>
          <w:color w:val="833C0B" w:themeColor="accent2" w:themeShade="80"/>
          <w:sz w:val="18"/>
          <w:szCs w:val="18"/>
        </w:rPr>
        <w:t xml:space="preserve"> </w:t>
      </w:r>
    </w:p>
    <w:p w14:paraId="6BE7241D" w14:textId="77777777" w:rsidR="00AF6C65" w:rsidRPr="004F1E76" w:rsidRDefault="00AF6C65" w:rsidP="00003F9A">
      <w:pPr>
        <w:pStyle w:val="ListParagraph"/>
        <w:shd w:val="clear" w:color="auto" w:fill="FFFFFF"/>
        <w:spacing w:after="0" w:line="240" w:lineRule="auto"/>
        <w:jc w:val="both"/>
        <w:rPr>
          <w:rFonts w:cs="Calibri"/>
          <w:b/>
          <w:color w:val="833C0B" w:themeColor="accent2" w:themeShade="80"/>
          <w:sz w:val="18"/>
          <w:szCs w:val="18"/>
        </w:rPr>
      </w:pPr>
    </w:p>
    <w:p w14:paraId="1D616E17" w14:textId="77777777" w:rsidR="007B4529" w:rsidRPr="009D0E8B" w:rsidRDefault="007B4529" w:rsidP="00003F9A">
      <w:pPr>
        <w:spacing w:after="0" w:line="240" w:lineRule="auto"/>
        <w:jc w:val="both"/>
        <w:rPr>
          <w:rFonts w:ascii="Tahoma" w:hAnsi="Tahoma" w:cs="Tahoma"/>
          <w:sz w:val="18"/>
          <w:szCs w:val="18"/>
        </w:rPr>
      </w:pPr>
      <w:r w:rsidRPr="009D0E8B">
        <w:rPr>
          <w:rFonts w:cs="Calibri"/>
          <w:b/>
          <w:sz w:val="18"/>
          <w:szCs w:val="18"/>
        </w:rPr>
        <w:t>Authority Stakeholder(s</w:t>
      </w:r>
      <w:r w:rsidR="00EF6DD4" w:rsidRPr="009D0E8B">
        <w:rPr>
          <w:rFonts w:cs="Calibri"/>
          <w:b/>
          <w:sz w:val="18"/>
          <w:szCs w:val="18"/>
        </w:rPr>
        <w:t>):</w:t>
      </w:r>
      <w:r w:rsidR="00EF6DD4" w:rsidRPr="009D0E8B">
        <w:rPr>
          <w:rFonts w:cs="Calibri"/>
          <w:b/>
          <w:sz w:val="18"/>
          <w:szCs w:val="18"/>
        </w:rPr>
        <w:tab/>
      </w:r>
      <w:r w:rsidR="009D0E8B">
        <w:rPr>
          <w:rFonts w:cs="Calibri"/>
          <w:b/>
          <w:sz w:val="18"/>
          <w:szCs w:val="18"/>
        </w:rPr>
        <w:tab/>
      </w:r>
      <w:r w:rsidR="00496B10" w:rsidRPr="009D0E8B">
        <w:rPr>
          <w:rFonts w:ascii="Tahoma" w:hAnsi="Tahoma" w:cs="Tahoma"/>
          <w:sz w:val="18"/>
          <w:szCs w:val="18"/>
        </w:rPr>
        <w:t xml:space="preserve">Seneca County and all municipalities and school districts within the </w:t>
      </w:r>
      <w:r w:rsidR="00496B10" w:rsidRPr="009D0E8B">
        <w:rPr>
          <w:rFonts w:ascii="Tahoma" w:hAnsi="Tahoma" w:cs="Tahoma"/>
          <w:sz w:val="18"/>
          <w:szCs w:val="18"/>
        </w:rPr>
        <w:tab/>
      </w:r>
      <w:r w:rsidR="00496B10" w:rsidRPr="009D0E8B">
        <w:rPr>
          <w:rFonts w:ascii="Tahoma" w:hAnsi="Tahoma" w:cs="Tahoma"/>
          <w:sz w:val="18"/>
          <w:szCs w:val="18"/>
        </w:rPr>
        <w:tab/>
      </w:r>
      <w:r w:rsidR="00496B10" w:rsidRPr="009D0E8B">
        <w:rPr>
          <w:rFonts w:ascii="Tahoma" w:hAnsi="Tahoma" w:cs="Tahoma"/>
          <w:sz w:val="18"/>
          <w:szCs w:val="18"/>
        </w:rPr>
        <w:tab/>
      </w:r>
      <w:r w:rsidR="00496B10" w:rsidRPr="009D0E8B">
        <w:rPr>
          <w:rFonts w:ascii="Tahoma" w:hAnsi="Tahoma" w:cs="Tahoma"/>
          <w:sz w:val="18"/>
          <w:szCs w:val="18"/>
        </w:rPr>
        <w:tab/>
      </w:r>
      <w:r w:rsidR="00496B10" w:rsidRPr="009D0E8B">
        <w:rPr>
          <w:rFonts w:ascii="Tahoma" w:hAnsi="Tahoma" w:cs="Tahoma"/>
          <w:sz w:val="18"/>
          <w:szCs w:val="18"/>
        </w:rPr>
        <w:tab/>
      </w:r>
      <w:r w:rsidR="00B60D43" w:rsidRPr="009D0E8B">
        <w:rPr>
          <w:rFonts w:ascii="Tahoma" w:hAnsi="Tahoma" w:cs="Tahoma"/>
          <w:sz w:val="18"/>
          <w:szCs w:val="18"/>
        </w:rPr>
        <w:tab/>
      </w:r>
      <w:r w:rsidR="00496B10" w:rsidRPr="009D0E8B">
        <w:rPr>
          <w:rFonts w:ascii="Tahoma" w:hAnsi="Tahoma" w:cs="Tahoma"/>
          <w:sz w:val="18"/>
          <w:szCs w:val="18"/>
        </w:rPr>
        <w:t>County as well as residents and property owners</w:t>
      </w:r>
      <w:r w:rsidR="00EF6DD4" w:rsidRPr="009D0E8B">
        <w:rPr>
          <w:rFonts w:ascii="Tahoma" w:hAnsi="Tahoma" w:cs="Tahoma"/>
          <w:sz w:val="18"/>
          <w:szCs w:val="18"/>
        </w:rPr>
        <w:t xml:space="preserve"> </w:t>
      </w:r>
    </w:p>
    <w:p w14:paraId="3DC91E14" w14:textId="77777777" w:rsidR="00496B10" w:rsidRPr="009D0E8B" w:rsidRDefault="00496B10" w:rsidP="00003F9A">
      <w:pPr>
        <w:spacing w:after="0" w:line="240" w:lineRule="auto"/>
        <w:jc w:val="both"/>
        <w:rPr>
          <w:rFonts w:ascii="Tahoma" w:hAnsi="Tahoma" w:cs="Tahoma"/>
          <w:sz w:val="18"/>
          <w:szCs w:val="18"/>
        </w:rPr>
      </w:pPr>
    </w:p>
    <w:p w14:paraId="6793C82B" w14:textId="77777777" w:rsidR="00AF6C65" w:rsidRPr="009D0E8B" w:rsidRDefault="007B4529" w:rsidP="00003F9A">
      <w:pPr>
        <w:spacing w:after="0" w:line="240" w:lineRule="auto"/>
        <w:jc w:val="both"/>
        <w:rPr>
          <w:rFonts w:ascii="Tahoma" w:hAnsi="Tahoma" w:cs="Tahoma"/>
          <w:b/>
          <w:color w:val="C45911"/>
          <w:sz w:val="18"/>
          <w:szCs w:val="18"/>
        </w:rPr>
      </w:pPr>
      <w:r w:rsidRPr="009D0E8B">
        <w:rPr>
          <w:rFonts w:cs="Calibri"/>
          <w:b/>
          <w:sz w:val="18"/>
          <w:szCs w:val="18"/>
        </w:rPr>
        <w:t>Authority Beneficiaries:</w:t>
      </w:r>
      <w:r w:rsidR="00EF6DD4" w:rsidRPr="009D0E8B">
        <w:rPr>
          <w:rFonts w:cs="Calibri"/>
          <w:b/>
          <w:sz w:val="18"/>
          <w:szCs w:val="18"/>
        </w:rPr>
        <w:tab/>
      </w:r>
      <w:r w:rsidR="00EF6DD4" w:rsidRPr="009D0E8B">
        <w:rPr>
          <w:rFonts w:cs="Calibri"/>
          <w:b/>
          <w:sz w:val="18"/>
          <w:szCs w:val="18"/>
        </w:rPr>
        <w:tab/>
      </w:r>
      <w:r w:rsidR="00EF6DD4" w:rsidRPr="009D0E8B">
        <w:rPr>
          <w:rFonts w:ascii="Tahoma" w:hAnsi="Tahoma" w:cs="Tahoma"/>
          <w:sz w:val="18"/>
          <w:szCs w:val="18"/>
        </w:rPr>
        <w:t xml:space="preserve">Seneca County and all municipalities and school districts within the </w:t>
      </w:r>
      <w:r w:rsidR="00AF6C65" w:rsidRPr="009D0E8B">
        <w:rPr>
          <w:rFonts w:ascii="Tahoma" w:hAnsi="Tahoma" w:cs="Tahoma"/>
          <w:sz w:val="18"/>
          <w:szCs w:val="18"/>
        </w:rPr>
        <w:tab/>
      </w:r>
      <w:r w:rsidR="00AF6C65" w:rsidRPr="009D0E8B">
        <w:rPr>
          <w:rFonts w:ascii="Tahoma" w:hAnsi="Tahoma" w:cs="Tahoma"/>
          <w:sz w:val="18"/>
          <w:szCs w:val="18"/>
        </w:rPr>
        <w:tab/>
      </w:r>
      <w:r w:rsidR="00AF6C65" w:rsidRPr="009D0E8B">
        <w:rPr>
          <w:rFonts w:ascii="Tahoma" w:hAnsi="Tahoma" w:cs="Tahoma"/>
          <w:sz w:val="18"/>
          <w:szCs w:val="18"/>
        </w:rPr>
        <w:tab/>
      </w:r>
      <w:r w:rsidR="00AF6C65" w:rsidRPr="009D0E8B">
        <w:rPr>
          <w:rFonts w:ascii="Tahoma" w:hAnsi="Tahoma" w:cs="Tahoma"/>
          <w:sz w:val="18"/>
          <w:szCs w:val="18"/>
        </w:rPr>
        <w:tab/>
      </w:r>
      <w:r w:rsidR="00AF6C65" w:rsidRPr="009D0E8B">
        <w:rPr>
          <w:rFonts w:ascii="Tahoma" w:hAnsi="Tahoma" w:cs="Tahoma"/>
          <w:sz w:val="18"/>
          <w:szCs w:val="18"/>
        </w:rPr>
        <w:tab/>
      </w:r>
      <w:r w:rsidR="00B60D43" w:rsidRPr="009D0E8B">
        <w:rPr>
          <w:rFonts w:ascii="Tahoma" w:hAnsi="Tahoma" w:cs="Tahoma"/>
          <w:sz w:val="18"/>
          <w:szCs w:val="18"/>
        </w:rPr>
        <w:tab/>
      </w:r>
      <w:r w:rsidR="00EF6DD4" w:rsidRPr="009D0E8B">
        <w:rPr>
          <w:rFonts w:ascii="Tahoma" w:hAnsi="Tahoma" w:cs="Tahoma"/>
          <w:sz w:val="18"/>
          <w:szCs w:val="18"/>
        </w:rPr>
        <w:t>County as well as residents and property owners</w:t>
      </w:r>
    </w:p>
    <w:p w14:paraId="2B7310D5" w14:textId="77777777" w:rsidR="00EF6DD4" w:rsidRPr="009D0E8B" w:rsidRDefault="007B4529" w:rsidP="00003F9A">
      <w:pPr>
        <w:spacing w:after="0" w:line="240" w:lineRule="auto"/>
        <w:jc w:val="both"/>
        <w:rPr>
          <w:rFonts w:cs="Calibri"/>
          <w:color w:val="C45911"/>
          <w:sz w:val="18"/>
          <w:szCs w:val="18"/>
        </w:rPr>
      </w:pPr>
      <w:r w:rsidRPr="009D0E8B">
        <w:rPr>
          <w:rFonts w:cs="Calibri"/>
          <w:b/>
          <w:color w:val="C45911"/>
          <w:sz w:val="18"/>
          <w:szCs w:val="18"/>
        </w:rPr>
        <w:t xml:space="preserve"> </w:t>
      </w:r>
      <w:r w:rsidR="00EF6DD4" w:rsidRPr="009D0E8B">
        <w:rPr>
          <w:rFonts w:cs="Calibri"/>
          <w:color w:val="C45911"/>
          <w:sz w:val="18"/>
          <w:szCs w:val="18"/>
        </w:rPr>
        <w:tab/>
      </w:r>
    </w:p>
    <w:p w14:paraId="785994D7" w14:textId="77777777" w:rsidR="00003F9A" w:rsidRDefault="007B4529" w:rsidP="009D0E8B">
      <w:pPr>
        <w:spacing w:after="0" w:line="240" w:lineRule="auto"/>
        <w:jc w:val="both"/>
        <w:rPr>
          <w:rFonts w:ascii="Tahoma" w:hAnsi="Tahoma" w:cs="Tahoma"/>
          <w:sz w:val="18"/>
          <w:szCs w:val="18"/>
        </w:rPr>
      </w:pPr>
      <w:r w:rsidRPr="009D0E8B">
        <w:rPr>
          <w:rFonts w:cs="Calibri"/>
          <w:b/>
          <w:sz w:val="18"/>
          <w:szCs w:val="18"/>
        </w:rPr>
        <w:t>Authority Customers:</w:t>
      </w:r>
      <w:r w:rsidR="00AF6C65" w:rsidRPr="009D0E8B">
        <w:rPr>
          <w:rFonts w:cs="Calibri"/>
          <w:b/>
          <w:sz w:val="18"/>
          <w:szCs w:val="18"/>
        </w:rPr>
        <w:tab/>
      </w:r>
      <w:r w:rsidR="00AF6C65" w:rsidRPr="009D0E8B">
        <w:rPr>
          <w:rFonts w:cs="Calibri"/>
          <w:b/>
          <w:sz w:val="18"/>
          <w:szCs w:val="18"/>
        </w:rPr>
        <w:tab/>
      </w:r>
      <w:r w:rsidR="00496B10" w:rsidRPr="009D0E8B">
        <w:rPr>
          <w:rFonts w:ascii="Tahoma" w:hAnsi="Tahoma" w:cs="Tahoma"/>
          <w:sz w:val="18"/>
          <w:szCs w:val="18"/>
        </w:rPr>
        <w:t>Residents of Seneca County</w:t>
      </w:r>
    </w:p>
    <w:p w14:paraId="1FAFF7AA" w14:textId="77777777" w:rsidR="009D0E8B" w:rsidRPr="009D0E8B" w:rsidRDefault="009D0E8B" w:rsidP="009D0E8B">
      <w:pPr>
        <w:spacing w:after="0" w:line="240" w:lineRule="auto"/>
        <w:jc w:val="both"/>
        <w:rPr>
          <w:rFonts w:cs="Calibri"/>
          <w:b/>
          <w:sz w:val="18"/>
          <w:szCs w:val="18"/>
        </w:rPr>
      </w:pPr>
    </w:p>
    <w:p w14:paraId="3CBCFC77" w14:textId="7B44B6FD" w:rsidR="007A2D5B" w:rsidRPr="004F1E76" w:rsidRDefault="007B4529" w:rsidP="00003F9A">
      <w:pPr>
        <w:jc w:val="both"/>
        <w:rPr>
          <w:rFonts w:ascii="Tahoma" w:hAnsi="Tahoma" w:cs="Tahoma"/>
          <w:b/>
          <w:color w:val="833C0B" w:themeColor="accent2" w:themeShade="80"/>
          <w:sz w:val="18"/>
          <w:szCs w:val="18"/>
        </w:rPr>
      </w:pPr>
      <w:r w:rsidRPr="009D0E8B">
        <w:rPr>
          <w:rFonts w:cs="Calibri"/>
          <w:b/>
          <w:sz w:val="18"/>
          <w:szCs w:val="18"/>
        </w:rPr>
        <w:t xml:space="preserve">Authority self-evaluation of prior year performance </w:t>
      </w:r>
      <w:r w:rsidRPr="004F1E76">
        <w:rPr>
          <w:rFonts w:ascii="Tahoma" w:hAnsi="Tahoma" w:cs="Tahoma"/>
          <w:b/>
          <w:color w:val="833C0B" w:themeColor="accent2" w:themeShade="80"/>
          <w:sz w:val="18"/>
          <w:szCs w:val="18"/>
        </w:rPr>
        <w:t xml:space="preserve">(based upon established measurements): </w:t>
      </w:r>
      <w:r w:rsidR="007A2D5B" w:rsidRPr="004F1E76">
        <w:rPr>
          <w:rFonts w:ascii="Tahoma" w:hAnsi="Tahoma" w:cs="Tahoma"/>
          <w:b/>
          <w:color w:val="833C0B" w:themeColor="accent2" w:themeShade="80"/>
          <w:sz w:val="18"/>
          <w:szCs w:val="18"/>
        </w:rPr>
        <w:t xml:space="preserve">During </w:t>
      </w:r>
      <w:r w:rsidR="00672BB8">
        <w:rPr>
          <w:rFonts w:ascii="Tahoma" w:hAnsi="Tahoma" w:cs="Tahoma"/>
          <w:b/>
          <w:color w:val="833C0B" w:themeColor="accent2" w:themeShade="80"/>
          <w:sz w:val="18"/>
          <w:szCs w:val="18"/>
        </w:rPr>
        <w:t>2021</w:t>
      </w:r>
      <w:r w:rsidR="007A2D5B" w:rsidRPr="004F1E76">
        <w:rPr>
          <w:rFonts w:ascii="Tahoma" w:hAnsi="Tahoma" w:cs="Tahoma"/>
          <w:b/>
          <w:color w:val="833C0B" w:themeColor="accent2" w:themeShade="80"/>
          <w:sz w:val="18"/>
          <w:szCs w:val="18"/>
        </w:rPr>
        <w:t xml:space="preserve"> the Seneca County</w:t>
      </w:r>
      <w:r w:rsidR="007F54C3">
        <w:rPr>
          <w:rFonts w:ascii="Tahoma" w:hAnsi="Tahoma" w:cs="Tahoma"/>
          <w:b/>
          <w:color w:val="833C0B" w:themeColor="accent2" w:themeShade="80"/>
          <w:sz w:val="18"/>
          <w:szCs w:val="18"/>
        </w:rPr>
        <w:t xml:space="preserve"> EDC</w:t>
      </w:r>
      <w:r w:rsidR="007A2D5B" w:rsidRPr="004F1E76">
        <w:rPr>
          <w:rFonts w:ascii="Tahoma" w:hAnsi="Tahoma" w:cs="Tahoma"/>
          <w:b/>
          <w:color w:val="833C0B" w:themeColor="accent2" w:themeShade="80"/>
          <w:sz w:val="18"/>
          <w:szCs w:val="18"/>
        </w:rPr>
        <w:t xml:space="preserve"> </w:t>
      </w:r>
      <w:r w:rsidR="00BF05BB">
        <w:rPr>
          <w:rFonts w:ascii="Tahoma" w:hAnsi="Tahoma" w:cs="Tahoma"/>
          <w:b/>
          <w:color w:val="833C0B" w:themeColor="accent2" w:themeShade="80"/>
          <w:sz w:val="18"/>
          <w:szCs w:val="18"/>
        </w:rPr>
        <w:t xml:space="preserve">continued collaborations </w:t>
      </w:r>
      <w:r w:rsidR="007A2D5B" w:rsidRPr="004F1E76">
        <w:rPr>
          <w:rFonts w:ascii="Tahoma" w:hAnsi="Tahoma" w:cs="Tahoma"/>
          <w:b/>
          <w:color w:val="833C0B" w:themeColor="accent2" w:themeShade="80"/>
          <w:sz w:val="18"/>
          <w:szCs w:val="18"/>
        </w:rPr>
        <w:t>with Seneca County to help manage Sampson Veterans Memorial Cemetery</w:t>
      </w:r>
      <w:r w:rsidR="00672BB8">
        <w:rPr>
          <w:rFonts w:ascii="Tahoma" w:hAnsi="Tahoma" w:cs="Tahoma"/>
          <w:b/>
          <w:color w:val="833C0B" w:themeColor="accent2" w:themeShade="80"/>
          <w:sz w:val="18"/>
          <w:szCs w:val="18"/>
        </w:rPr>
        <w:t xml:space="preserve"> thru June2021, at which time the Cemetery operations were turned over to Seneca County. </w:t>
      </w:r>
    </w:p>
    <w:p w14:paraId="392E348D" w14:textId="77777777" w:rsidR="009D0E8B" w:rsidRDefault="009D0E8B" w:rsidP="00003F9A">
      <w:pPr>
        <w:jc w:val="both"/>
        <w:rPr>
          <w:rFonts w:cs="Calibri"/>
          <w:b/>
          <w:sz w:val="18"/>
          <w:szCs w:val="18"/>
        </w:rPr>
      </w:pPr>
    </w:p>
    <w:p w14:paraId="3CA2DE76" w14:textId="77777777" w:rsidR="009D0E8B" w:rsidRDefault="009D0E8B" w:rsidP="00003F9A">
      <w:pPr>
        <w:jc w:val="both"/>
        <w:rPr>
          <w:rFonts w:cs="Calibri"/>
          <w:b/>
          <w:sz w:val="18"/>
          <w:szCs w:val="18"/>
        </w:rPr>
      </w:pPr>
    </w:p>
    <w:p w14:paraId="4F3D3B85" w14:textId="77777777" w:rsidR="009D0E8B" w:rsidRDefault="009D0E8B" w:rsidP="00003F9A">
      <w:pPr>
        <w:jc w:val="both"/>
        <w:rPr>
          <w:rFonts w:cs="Calibri"/>
          <w:b/>
          <w:sz w:val="18"/>
          <w:szCs w:val="18"/>
        </w:rPr>
      </w:pPr>
    </w:p>
    <w:p w14:paraId="7B21314F" w14:textId="77777777" w:rsidR="009D0E8B" w:rsidRDefault="009D0E8B" w:rsidP="00003F9A">
      <w:pPr>
        <w:jc w:val="both"/>
        <w:rPr>
          <w:rFonts w:cs="Calibri"/>
          <w:b/>
          <w:sz w:val="18"/>
          <w:szCs w:val="18"/>
        </w:rPr>
      </w:pPr>
    </w:p>
    <w:p w14:paraId="436D954A" w14:textId="77777777" w:rsidR="007B4529" w:rsidRPr="009D0E8B" w:rsidRDefault="007B4529" w:rsidP="00003F9A">
      <w:pPr>
        <w:jc w:val="both"/>
        <w:rPr>
          <w:rFonts w:cs="Calibri"/>
          <w:b/>
          <w:sz w:val="18"/>
          <w:szCs w:val="18"/>
        </w:rPr>
      </w:pPr>
      <w:r w:rsidRPr="009D0E8B">
        <w:rPr>
          <w:rFonts w:cs="Calibri"/>
          <w:b/>
          <w:sz w:val="18"/>
          <w:szCs w:val="18"/>
        </w:rPr>
        <w:t>Governance Certification:</w:t>
      </w:r>
    </w:p>
    <w:p w14:paraId="5E051FCF" w14:textId="77777777" w:rsidR="007B4529" w:rsidRPr="009D0E8B" w:rsidRDefault="007B4529" w:rsidP="00003F9A">
      <w:pPr>
        <w:numPr>
          <w:ilvl w:val="0"/>
          <w:numId w:val="5"/>
        </w:numPr>
        <w:jc w:val="both"/>
        <w:rPr>
          <w:rFonts w:cs="Calibri"/>
          <w:sz w:val="18"/>
          <w:szCs w:val="18"/>
        </w:rPr>
      </w:pPr>
      <w:r w:rsidRPr="009D0E8B">
        <w:rPr>
          <w:rFonts w:cs="Calibri"/>
          <w:sz w:val="18"/>
          <w:szCs w:val="18"/>
        </w:rPr>
        <w:t xml:space="preserve">Have the board members acknowledged that they have read and understood the mission of the public authority? </w:t>
      </w:r>
    </w:p>
    <w:p w14:paraId="05A21F92" w14:textId="77777777" w:rsidR="007B4529" w:rsidRPr="004F1E76" w:rsidRDefault="007B4529" w:rsidP="00003F9A">
      <w:pPr>
        <w:ind w:firstLine="720"/>
        <w:jc w:val="both"/>
        <w:rPr>
          <w:rFonts w:cs="Calibri"/>
          <w:b/>
          <w:color w:val="833C0B" w:themeColor="accent2" w:themeShade="80"/>
          <w:sz w:val="18"/>
          <w:szCs w:val="18"/>
        </w:rPr>
      </w:pPr>
      <w:r w:rsidRPr="009D0E8B">
        <w:rPr>
          <w:rFonts w:cs="Calibri"/>
          <w:sz w:val="18"/>
          <w:szCs w:val="18"/>
        </w:rPr>
        <w:t xml:space="preserve"> Board of Directors Response:  </w:t>
      </w:r>
      <w:r w:rsidR="007A2D5B" w:rsidRPr="004F1E76">
        <w:rPr>
          <w:rFonts w:cs="Calibri"/>
          <w:b/>
          <w:color w:val="833C0B" w:themeColor="accent2" w:themeShade="80"/>
          <w:sz w:val="18"/>
          <w:szCs w:val="18"/>
        </w:rPr>
        <w:t>Yes</w:t>
      </w:r>
    </w:p>
    <w:p w14:paraId="37A1CF93" w14:textId="77777777" w:rsidR="007B4529" w:rsidRPr="009D0E8B" w:rsidRDefault="007B4529" w:rsidP="00003F9A">
      <w:pPr>
        <w:numPr>
          <w:ilvl w:val="0"/>
          <w:numId w:val="5"/>
        </w:numPr>
        <w:jc w:val="both"/>
        <w:rPr>
          <w:rFonts w:cs="Calibri"/>
          <w:sz w:val="18"/>
          <w:szCs w:val="18"/>
        </w:rPr>
      </w:pPr>
      <w:r w:rsidRPr="009D0E8B">
        <w:rPr>
          <w:rFonts w:cs="Calibri"/>
          <w:sz w:val="18"/>
          <w:szCs w:val="18"/>
        </w:rPr>
        <w:t xml:space="preserve">Who has the power to appoint management of the public authority?  </w:t>
      </w:r>
    </w:p>
    <w:p w14:paraId="55A50255" w14:textId="77777777" w:rsidR="007B4529" w:rsidRPr="004F1E76" w:rsidRDefault="007B4529" w:rsidP="00003F9A">
      <w:pPr>
        <w:ind w:firstLine="720"/>
        <w:jc w:val="both"/>
        <w:rPr>
          <w:rFonts w:cs="Calibri"/>
          <w:b/>
          <w:color w:val="833C0B" w:themeColor="accent2" w:themeShade="80"/>
          <w:sz w:val="18"/>
          <w:szCs w:val="18"/>
        </w:rPr>
      </w:pPr>
      <w:r w:rsidRPr="009D0E8B">
        <w:rPr>
          <w:rFonts w:cs="Calibri"/>
          <w:sz w:val="18"/>
          <w:szCs w:val="18"/>
        </w:rPr>
        <w:t xml:space="preserve">Board of Directors Response: </w:t>
      </w:r>
      <w:r w:rsidR="007A2D5B" w:rsidRPr="009D0E8B">
        <w:rPr>
          <w:rFonts w:cs="Calibri"/>
          <w:sz w:val="18"/>
          <w:szCs w:val="18"/>
        </w:rPr>
        <w:t xml:space="preserve"> </w:t>
      </w:r>
      <w:r w:rsidR="007A2D5B" w:rsidRPr="004F1E76">
        <w:rPr>
          <w:rFonts w:cs="Calibri"/>
          <w:b/>
          <w:color w:val="833C0B" w:themeColor="accent2" w:themeShade="80"/>
          <w:sz w:val="18"/>
          <w:szCs w:val="18"/>
        </w:rPr>
        <w:t>Board</w:t>
      </w:r>
    </w:p>
    <w:p w14:paraId="36575F1B" w14:textId="77777777" w:rsidR="007B4529" w:rsidRPr="009D0E8B" w:rsidRDefault="007B4529" w:rsidP="00003F9A">
      <w:pPr>
        <w:numPr>
          <w:ilvl w:val="0"/>
          <w:numId w:val="5"/>
        </w:numPr>
        <w:jc w:val="both"/>
        <w:rPr>
          <w:rFonts w:cs="Calibri"/>
          <w:sz w:val="18"/>
          <w:szCs w:val="18"/>
        </w:rPr>
      </w:pPr>
      <w:r w:rsidRPr="009D0E8B">
        <w:rPr>
          <w:rFonts w:cs="Calibri"/>
          <w:sz w:val="18"/>
          <w:szCs w:val="18"/>
        </w:rPr>
        <w:t>If the Board appoints management, do you have a policy you follow when appointing the management of the public authority.</w:t>
      </w:r>
    </w:p>
    <w:p w14:paraId="50E85BAF" w14:textId="77777777" w:rsidR="007B4529" w:rsidRPr="004F1E76" w:rsidRDefault="007B4529" w:rsidP="00003F9A">
      <w:pPr>
        <w:ind w:left="720"/>
        <w:jc w:val="both"/>
        <w:rPr>
          <w:rFonts w:cs="Calibri"/>
          <w:color w:val="833C0B" w:themeColor="accent2" w:themeShade="80"/>
          <w:sz w:val="18"/>
          <w:szCs w:val="18"/>
        </w:rPr>
      </w:pPr>
      <w:r w:rsidRPr="009D0E8B">
        <w:rPr>
          <w:rFonts w:cs="Calibri"/>
          <w:sz w:val="18"/>
          <w:szCs w:val="18"/>
        </w:rPr>
        <w:t xml:space="preserve">Board of Directors Response:  </w:t>
      </w:r>
      <w:r w:rsidR="007A2D5B" w:rsidRPr="004F1E76">
        <w:rPr>
          <w:rFonts w:cs="Calibri"/>
          <w:b/>
          <w:color w:val="833C0B" w:themeColor="accent2" w:themeShade="80"/>
          <w:sz w:val="18"/>
          <w:szCs w:val="18"/>
        </w:rPr>
        <w:t>The Governance Committee annually reviews management and recommends appointment by the full board of directors</w:t>
      </w:r>
      <w:r w:rsidR="007A2D5B" w:rsidRPr="004F1E76">
        <w:rPr>
          <w:rFonts w:cs="Calibri"/>
          <w:color w:val="833C0B" w:themeColor="accent2" w:themeShade="80"/>
          <w:sz w:val="18"/>
          <w:szCs w:val="18"/>
        </w:rPr>
        <w:t>.</w:t>
      </w:r>
    </w:p>
    <w:p w14:paraId="7D123059" w14:textId="77777777" w:rsidR="007B4529" w:rsidRPr="009D0E8B" w:rsidRDefault="007B4529" w:rsidP="00003F9A">
      <w:pPr>
        <w:pStyle w:val="ListParagraph"/>
        <w:numPr>
          <w:ilvl w:val="0"/>
          <w:numId w:val="5"/>
        </w:numPr>
        <w:jc w:val="both"/>
        <w:rPr>
          <w:rFonts w:cs="Calibri"/>
          <w:sz w:val="18"/>
          <w:szCs w:val="18"/>
        </w:rPr>
      </w:pPr>
      <w:r w:rsidRPr="009D0E8B">
        <w:rPr>
          <w:rFonts w:cs="Calibri"/>
          <w:sz w:val="18"/>
          <w:szCs w:val="18"/>
        </w:rPr>
        <w:t>Briefly describe the role of the Board and the role of management in the implementation of the mission.</w:t>
      </w:r>
    </w:p>
    <w:p w14:paraId="3DD5B620" w14:textId="77777777" w:rsidR="007B4529" w:rsidRPr="009D0E8B" w:rsidRDefault="007B4529" w:rsidP="00003F9A">
      <w:pPr>
        <w:ind w:left="720"/>
        <w:jc w:val="both"/>
        <w:rPr>
          <w:rFonts w:cs="Calibri"/>
          <w:sz w:val="18"/>
          <w:szCs w:val="18"/>
        </w:rPr>
      </w:pPr>
      <w:r w:rsidRPr="009D0E8B">
        <w:rPr>
          <w:rFonts w:cs="Calibri"/>
          <w:sz w:val="18"/>
          <w:szCs w:val="18"/>
        </w:rPr>
        <w:t xml:space="preserve">Board of Directors Response:  </w:t>
      </w:r>
      <w:r w:rsidR="007A2D5B" w:rsidRPr="004F1E76">
        <w:rPr>
          <w:rFonts w:cs="Calibri"/>
          <w:b/>
          <w:color w:val="833C0B" w:themeColor="accent2" w:themeShade="80"/>
          <w:sz w:val="18"/>
          <w:szCs w:val="18"/>
        </w:rPr>
        <w:t>The Board of Directors provides oversight and sets strategy, while management performs day-to-day responsibilities to implement the agency’s mission.</w:t>
      </w:r>
    </w:p>
    <w:p w14:paraId="4AB8C3C3" w14:textId="77777777" w:rsidR="007B4529" w:rsidRPr="009D0E8B" w:rsidRDefault="007B4529" w:rsidP="00003F9A">
      <w:pPr>
        <w:numPr>
          <w:ilvl w:val="0"/>
          <w:numId w:val="5"/>
        </w:numPr>
        <w:jc w:val="both"/>
        <w:rPr>
          <w:rFonts w:cs="Calibri"/>
          <w:sz w:val="18"/>
          <w:szCs w:val="18"/>
        </w:rPr>
      </w:pPr>
      <w:r w:rsidRPr="009D0E8B">
        <w:rPr>
          <w:rFonts w:cs="Calibri"/>
          <w:sz w:val="18"/>
          <w:szCs w:val="18"/>
        </w:rPr>
        <w:t>Has the Board acknowledged that they have read and understood the response to each of these questions?</w:t>
      </w:r>
    </w:p>
    <w:p w14:paraId="2D3AFD63" w14:textId="77777777" w:rsidR="007B4529" w:rsidRPr="004F1E76" w:rsidRDefault="007B4529" w:rsidP="00003F9A">
      <w:pPr>
        <w:ind w:firstLine="720"/>
        <w:jc w:val="both"/>
        <w:rPr>
          <w:rFonts w:cs="Calibri"/>
          <w:b/>
          <w:color w:val="833C0B" w:themeColor="accent2" w:themeShade="80"/>
          <w:sz w:val="18"/>
          <w:szCs w:val="18"/>
        </w:rPr>
      </w:pPr>
      <w:r w:rsidRPr="009D0E8B">
        <w:rPr>
          <w:rFonts w:cs="Calibri"/>
          <w:sz w:val="18"/>
          <w:szCs w:val="18"/>
        </w:rPr>
        <w:t xml:space="preserve">Board of Directors Response:  </w:t>
      </w:r>
      <w:r w:rsidR="007A2D5B" w:rsidRPr="004F1E76">
        <w:rPr>
          <w:rFonts w:cs="Calibri"/>
          <w:b/>
          <w:color w:val="833C0B" w:themeColor="accent2" w:themeShade="80"/>
          <w:sz w:val="18"/>
          <w:szCs w:val="18"/>
        </w:rPr>
        <w:t>Yes</w:t>
      </w:r>
    </w:p>
    <w:p w14:paraId="4B1787DF" w14:textId="77777777" w:rsidR="007B4529" w:rsidRPr="009D0E8B" w:rsidRDefault="007B4529" w:rsidP="00003F9A">
      <w:pPr>
        <w:jc w:val="both"/>
        <w:rPr>
          <w:rFonts w:cs="Calibri"/>
          <w:b/>
          <w:sz w:val="18"/>
          <w:szCs w:val="18"/>
        </w:rPr>
      </w:pPr>
    </w:p>
    <w:p w14:paraId="60C445BC" w14:textId="77777777" w:rsidR="007B4529" w:rsidRPr="009D0E8B" w:rsidRDefault="007B4529" w:rsidP="00003F9A">
      <w:pPr>
        <w:jc w:val="both"/>
        <w:rPr>
          <w:rFonts w:cs="Calibri"/>
          <w:b/>
          <w:sz w:val="18"/>
          <w:szCs w:val="18"/>
        </w:rPr>
      </w:pPr>
    </w:p>
    <w:p w14:paraId="64B42153" w14:textId="77777777" w:rsidR="007B4529" w:rsidRPr="009D0E8B" w:rsidRDefault="007B4529" w:rsidP="00003F9A">
      <w:pPr>
        <w:jc w:val="both"/>
        <w:rPr>
          <w:rFonts w:cs="Calibri"/>
          <w:b/>
          <w:sz w:val="18"/>
          <w:szCs w:val="18"/>
          <w:u w:val="single"/>
        </w:rPr>
      </w:pPr>
    </w:p>
    <w:p w14:paraId="6D6F59CC" w14:textId="77777777" w:rsidR="00AF6C65" w:rsidRPr="009D0E8B" w:rsidRDefault="00AF6C65" w:rsidP="00003F9A">
      <w:pPr>
        <w:jc w:val="both"/>
        <w:rPr>
          <w:rFonts w:cs="Calibri"/>
          <w:b/>
          <w:sz w:val="18"/>
          <w:szCs w:val="18"/>
          <w:u w:val="single"/>
        </w:rPr>
      </w:pPr>
    </w:p>
    <w:sectPr w:rsidR="00AF6C65" w:rsidRPr="009D0E8B" w:rsidSect="009D0E8B">
      <w:footerReference w:type="default" r:id="rId8"/>
      <w:pgSz w:w="12240" w:h="15840"/>
      <w:pgMar w:top="1" w:right="1440" w:bottom="270" w:left="1440" w:header="5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623A4" w14:textId="77777777" w:rsidR="00F54EB1" w:rsidRDefault="00F54EB1">
      <w:r>
        <w:separator/>
      </w:r>
    </w:p>
  </w:endnote>
  <w:endnote w:type="continuationSeparator" w:id="0">
    <w:p w14:paraId="598F35FC" w14:textId="77777777" w:rsidR="00F54EB1" w:rsidRDefault="00F54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rk Avenue">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FAD82" w14:textId="31E7EE6A" w:rsidR="00F5682B" w:rsidRDefault="00F5682B" w:rsidP="00F5682B">
    <w:pPr>
      <w:pStyle w:val="Footer"/>
      <w:pBdr>
        <w:top w:val="single" w:sz="4" w:space="0" w:color="D9D9D9"/>
      </w:pBdr>
      <w:tabs>
        <w:tab w:val="left" w:pos="330"/>
        <w:tab w:val="right" w:pos="9360"/>
      </w:tabs>
    </w:pPr>
    <w:r>
      <w:tab/>
      <w:t xml:space="preserve">EDC </w:t>
    </w:r>
    <w:r w:rsidR="007F54C3">
      <w:t>20</w:t>
    </w:r>
    <w:r w:rsidR="005D1129">
      <w:t>2</w:t>
    </w:r>
    <w:r w:rsidR="00672BB8">
      <w:t>1</w:t>
    </w:r>
    <w:r>
      <w:t xml:space="preserve"> </w:t>
    </w:r>
    <w:r w:rsidR="009D0E8B">
      <w:t xml:space="preserve">Mission Statement and </w:t>
    </w:r>
    <w:r>
      <w:t xml:space="preserve">Measurement Report </w:t>
    </w:r>
    <w:r>
      <w:tab/>
    </w:r>
    <w:r>
      <w:fldChar w:fldCharType="begin"/>
    </w:r>
    <w:r>
      <w:instrText xml:space="preserve"> PAGE   \* MERGEFORMAT </w:instrText>
    </w:r>
    <w:r>
      <w:fldChar w:fldCharType="separate"/>
    </w:r>
    <w:r w:rsidR="00B666F3">
      <w:rPr>
        <w:noProof/>
      </w:rPr>
      <w:t>1</w:t>
    </w:r>
    <w:r>
      <w:rPr>
        <w:noProof/>
      </w:rPr>
      <w:fldChar w:fldCharType="end"/>
    </w:r>
    <w:r>
      <w:t xml:space="preserve"> | </w:t>
    </w:r>
    <w:r w:rsidRPr="00F5682B">
      <w:rPr>
        <w:color w:val="808080"/>
        <w:spacing w:val="60"/>
      </w:rPr>
      <w:t>Page</w:t>
    </w:r>
  </w:p>
  <w:p w14:paraId="602016FC" w14:textId="77777777" w:rsidR="00003F9A" w:rsidRDefault="00003F9A" w:rsidP="00F5682B">
    <w:pPr>
      <w:pStyle w:val="Footer"/>
      <w:tabs>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03C1A" w14:textId="77777777" w:rsidR="00F54EB1" w:rsidRDefault="00F54EB1">
      <w:r>
        <w:separator/>
      </w:r>
    </w:p>
  </w:footnote>
  <w:footnote w:type="continuationSeparator" w:id="0">
    <w:p w14:paraId="2C700F5D" w14:textId="77777777" w:rsidR="00F54EB1" w:rsidRDefault="00F54E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2CCA"/>
    <w:multiLevelType w:val="hybridMultilevel"/>
    <w:tmpl w:val="13BED0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8D330D0"/>
    <w:multiLevelType w:val="hybridMultilevel"/>
    <w:tmpl w:val="BB5C2E3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CF61DCF"/>
    <w:multiLevelType w:val="hybridMultilevel"/>
    <w:tmpl w:val="B070436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626216CE"/>
    <w:multiLevelType w:val="hybridMultilevel"/>
    <w:tmpl w:val="50E83B6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65E67D5A"/>
    <w:multiLevelType w:val="hybridMultilevel"/>
    <w:tmpl w:val="FAC29538"/>
    <w:lvl w:ilvl="0" w:tplc="EE200B50">
      <w:start w:val="1"/>
      <w:numFmt w:val="decimal"/>
      <w:lvlText w:val="%1."/>
      <w:lvlJc w:val="left"/>
      <w:pPr>
        <w:ind w:left="720" w:hanging="360"/>
      </w:pPr>
      <w:rPr>
        <w:rFonts w:ascii="Tahoma" w:hAnsi="Tahoma" w:cs="Tahoma" w:hint="default"/>
        <w:b/>
        <w:color w:val="548DD4"/>
        <w:sz w:val="18"/>
        <w:szCs w:val="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70442B7B"/>
    <w:multiLevelType w:val="hybridMultilevel"/>
    <w:tmpl w:val="CC44E4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74C74971"/>
    <w:multiLevelType w:val="hybridMultilevel"/>
    <w:tmpl w:val="6F1026EA"/>
    <w:lvl w:ilvl="0" w:tplc="4E102D28">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8B33786"/>
    <w:multiLevelType w:val="hybridMultilevel"/>
    <w:tmpl w:val="3CAE41B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7"/>
  </w:num>
  <w:num w:numId="4">
    <w:abstractNumId w:val="0"/>
  </w:num>
  <w:num w:numId="5">
    <w:abstractNumId w:val="5"/>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DB3"/>
    <w:rsid w:val="00003F9A"/>
    <w:rsid w:val="000302C1"/>
    <w:rsid w:val="000527DB"/>
    <w:rsid w:val="00055DB3"/>
    <w:rsid w:val="00137820"/>
    <w:rsid w:val="00187BA6"/>
    <w:rsid w:val="002506DC"/>
    <w:rsid w:val="002A17A4"/>
    <w:rsid w:val="002C2757"/>
    <w:rsid w:val="002C53EB"/>
    <w:rsid w:val="003354C4"/>
    <w:rsid w:val="00365BED"/>
    <w:rsid w:val="00492D59"/>
    <w:rsid w:val="00493567"/>
    <w:rsid w:val="00496B10"/>
    <w:rsid w:val="004F1E76"/>
    <w:rsid w:val="005212F8"/>
    <w:rsid w:val="005D1129"/>
    <w:rsid w:val="00672BB8"/>
    <w:rsid w:val="006F7942"/>
    <w:rsid w:val="007A2D5B"/>
    <w:rsid w:val="007B4529"/>
    <w:rsid w:val="007D5028"/>
    <w:rsid w:val="007F54C3"/>
    <w:rsid w:val="00801BF8"/>
    <w:rsid w:val="00923138"/>
    <w:rsid w:val="009238C8"/>
    <w:rsid w:val="00951E74"/>
    <w:rsid w:val="009D0E8B"/>
    <w:rsid w:val="00A3301B"/>
    <w:rsid w:val="00A75F5F"/>
    <w:rsid w:val="00AF6C65"/>
    <w:rsid w:val="00B60D43"/>
    <w:rsid w:val="00B666F3"/>
    <w:rsid w:val="00BA6D80"/>
    <w:rsid w:val="00BF05BB"/>
    <w:rsid w:val="00BF0905"/>
    <w:rsid w:val="00C2403C"/>
    <w:rsid w:val="00D04EAE"/>
    <w:rsid w:val="00D13087"/>
    <w:rsid w:val="00E56DCE"/>
    <w:rsid w:val="00E70E93"/>
    <w:rsid w:val="00E830E9"/>
    <w:rsid w:val="00EC041E"/>
    <w:rsid w:val="00EC4BA9"/>
    <w:rsid w:val="00EF6DD4"/>
    <w:rsid w:val="00F07CD8"/>
    <w:rsid w:val="00F1517E"/>
    <w:rsid w:val="00F54EB1"/>
    <w:rsid w:val="00F5682B"/>
    <w:rsid w:val="00F57200"/>
    <w:rsid w:val="00F83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3FA3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Times New Roman"/>
      <w:sz w:val="22"/>
      <w:szCs w:val="22"/>
    </w:rPr>
  </w:style>
  <w:style w:type="paragraph" w:styleId="Heading2">
    <w:name w:val="heading 2"/>
    <w:basedOn w:val="Normal"/>
    <w:next w:val="Normal"/>
    <w:link w:val="Heading2Char"/>
    <w:qFormat/>
    <w:locked/>
    <w:rsid w:val="009D0E8B"/>
    <w:pPr>
      <w:keepNext/>
      <w:spacing w:after="0" w:line="240" w:lineRule="auto"/>
      <w:outlineLvl w:val="1"/>
    </w:pPr>
    <w:rPr>
      <w:rFonts w:ascii="Park Avenue" w:hAnsi="Park Avenue"/>
      <w:b/>
      <w:i/>
      <w:sz w:val="36"/>
      <w:szCs w:val="20"/>
    </w:rPr>
  </w:style>
  <w:style w:type="paragraph" w:styleId="Heading4">
    <w:name w:val="heading 4"/>
    <w:basedOn w:val="Normal"/>
    <w:next w:val="Normal"/>
    <w:link w:val="Heading4Char"/>
    <w:qFormat/>
    <w:locked/>
    <w:rsid w:val="009D0E8B"/>
    <w:pPr>
      <w:keepNext/>
      <w:spacing w:after="0" w:line="240" w:lineRule="auto"/>
      <w:outlineLvl w:val="3"/>
    </w:pPr>
    <w:rPr>
      <w:rFonts w:ascii="Park Avenue" w:hAnsi="Park Avenue"/>
      <w:b/>
      <w:i/>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ascii="Times New Roman" w:hAnsi="Times New Roman" w:cs="Times New Roman"/>
      <w:sz w:val="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cs="Times New Roman"/>
    </w:rPr>
  </w:style>
  <w:style w:type="character" w:customStyle="1" w:styleId="Heading2Char">
    <w:name w:val="Heading 2 Char"/>
    <w:basedOn w:val="DefaultParagraphFont"/>
    <w:link w:val="Heading2"/>
    <w:rsid w:val="009D0E8B"/>
    <w:rPr>
      <w:rFonts w:ascii="Park Avenue" w:eastAsia="Times New Roman" w:hAnsi="Park Avenue"/>
      <w:b/>
      <w:i/>
      <w:sz w:val="36"/>
    </w:rPr>
  </w:style>
  <w:style w:type="character" w:customStyle="1" w:styleId="Heading4Char">
    <w:name w:val="Heading 4 Char"/>
    <w:basedOn w:val="DefaultParagraphFont"/>
    <w:link w:val="Heading4"/>
    <w:rsid w:val="009D0E8B"/>
    <w:rPr>
      <w:rFonts w:ascii="Park Avenue" w:eastAsia="Times New Roman" w:hAnsi="Park Avenue"/>
      <w:b/>
      <w:i/>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6" w:space="0" w:color="003366"/>
            <w:left w:val="single" w:sz="6" w:space="0" w:color="003366"/>
            <w:bottom w:val="single" w:sz="6" w:space="0" w:color="003366"/>
            <w:right w:val="single" w:sz="6" w:space="0" w:color="003366"/>
          </w:divBdr>
          <w:divsChild>
            <w:div w:id="1">
              <w:marLeft w:val="0"/>
              <w:marRight w:val="0"/>
              <w:marTop w:val="150"/>
              <w:marBottom w:val="0"/>
              <w:divBdr>
                <w:top w:val="none" w:sz="0" w:space="0" w:color="auto"/>
                <w:left w:val="none" w:sz="0" w:space="0" w:color="auto"/>
                <w:bottom w:val="none" w:sz="0" w:space="0" w:color="auto"/>
                <w:right w:val="none" w:sz="0" w:space="0" w:color="auto"/>
              </w:divBdr>
              <w:divsChild>
                <w:div w:id="2">
                  <w:marLeft w:val="0"/>
                  <w:marRight w:val="0"/>
                  <w:marTop w:val="0"/>
                  <w:marBottom w:val="225"/>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B5042-5ADF-40B6-9783-A18BC4034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cp:lastModifiedBy/>
  <cp:revision>1</cp:revision>
  <cp:lastPrinted>2011-03-02T18:48:00Z</cp:lastPrinted>
  <dcterms:created xsi:type="dcterms:W3CDTF">2022-03-15T13:09:00Z</dcterms:created>
  <dcterms:modified xsi:type="dcterms:W3CDTF">2022-03-15T13:09:00Z</dcterms:modified>
</cp:coreProperties>
</file>